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180" w:beforeAutospacing="0" w:after="360" w:afterAutospacing="0" w:line="450" w:lineRule="atLeast"/>
        <w:ind w:left="260" w:right="0"/>
        <w:jc w:val="center"/>
        <w:rPr>
          <w:rFonts w:hint="eastAsia" w:asciiTheme="minorEastAsia" w:hAnsiTheme="minorEastAsia" w:eastAsiaTheme="minorEastAsia" w:cstheme="minorEastAsia"/>
          <w:b/>
          <w:color w:val="333333"/>
          <w:sz w:val="28"/>
          <w:szCs w:val="28"/>
          <w:lang w:val="en-US" w:eastAsia="zh-CN"/>
        </w:rPr>
      </w:pPr>
      <w:r>
        <w:rPr>
          <w:rFonts w:hint="eastAsia" w:asciiTheme="minorEastAsia" w:hAnsiTheme="minorEastAsia" w:eastAsiaTheme="minorEastAsia" w:cstheme="minorEastAsia"/>
          <w:b/>
          <w:color w:val="333333"/>
          <w:sz w:val="28"/>
          <w:szCs w:val="28"/>
          <w:lang w:val="en-US" w:eastAsia="zh-CN"/>
        </w:rPr>
        <w:t>201</w:t>
      </w:r>
      <w:r>
        <w:rPr>
          <w:rFonts w:hint="eastAsia" w:asciiTheme="minorEastAsia" w:hAnsiTheme="minorEastAsia" w:cstheme="minorEastAsia"/>
          <w:b/>
          <w:color w:val="333333"/>
          <w:sz w:val="28"/>
          <w:szCs w:val="28"/>
          <w:lang w:val="en-US" w:eastAsia="zh-CN"/>
        </w:rPr>
        <w:t>8</w:t>
      </w:r>
      <w:r>
        <w:rPr>
          <w:rFonts w:hint="eastAsia" w:asciiTheme="minorEastAsia" w:hAnsiTheme="minorEastAsia" w:eastAsiaTheme="minorEastAsia" w:cstheme="minorEastAsia"/>
          <w:b/>
          <w:color w:val="333333"/>
          <w:sz w:val="28"/>
          <w:szCs w:val="28"/>
          <w:lang w:val="en-US" w:eastAsia="zh-CN"/>
        </w:rPr>
        <w:t xml:space="preserve">年度 </w:t>
      </w:r>
      <w:r>
        <w:rPr>
          <w:rFonts w:hint="eastAsia" w:asciiTheme="minorEastAsia" w:hAnsiTheme="minorEastAsia" w:cstheme="minorEastAsia"/>
          <w:b/>
          <w:color w:val="333333"/>
          <w:sz w:val="28"/>
          <w:szCs w:val="28"/>
          <w:lang w:val="en-US" w:eastAsia="zh-CN"/>
        </w:rPr>
        <w:t>绥滨县城市管理综合执法局</w:t>
      </w:r>
      <w:r>
        <w:rPr>
          <w:rFonts w:hint="eastAsia" w:asciiTheme="minorEastAsia" w:hAnsiTheme="minorEastAsia" w:eastAsiaTheme="minorEastAsia" w:cstheme="minorEastAsia"/>
          <w:b/>
          <w:color w:val="333333"/>
          <w:sz w:val="28"/>
          <w:szCs w:val="28"/>
          <w:lang w:val="en-US" w:eastAsia="zh-CN"/>
        </w:rPr>
        <w:t>决算文字说明</w:t>
      </w: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rPr>
      </w:pP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第一部分 部门概况</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180" w:beforeAutospacing="0" w:after="360" w:afterAutospacing="0" w:line="450" w:lineRule="atLeast"/>
        <w:ind w:left="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一、主要职能</w:t>
      </w:r>
    </w:p>
    <w:p>
      <w:pPr>
        <w:numPr>
          <w:ilvl w:val="0"/>
          <w:numId w:val="1"/>
        </w:numPr>
        <w:ind w:firstLine="560" w:firstLineChars="20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行使城市市容、美化和环境卫生管理方面法律、法规、规章规定的行政处罚权，拟定拆除不符合城市容貌标准、环境卫生标准的建筑物或者设施；负责园林、绿化、亮化、美化、环卫公用事业管理工作；对城镇环境卫生的清扫保洁工作实行行业管理。</w:t>
      </w:r>
    </w:p>
    <w:p>
      <w:pPr>
        <w:numPr>
          <w:ilvl w:val="0"/>
          <w:numId w:val="1"/>
        </w:numPr>
        <w:ind w:firstLine="560" w:firstLineChars="20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行使城市规划、城市供热、城市排水、燃气等市政管理方面法律、法规、规章规定的行政处罚权，对固体废弃物乱倾卸乱抛洒、占道施工工地进行管理；负责城区砍伐树木、临时占挖道审批。</w:t>
      </w:r>
    </w:p>
    <w:p>
      <w:pPr>
        <w:numPr>
          <w:ilvl w:val="0"/>
          <w:numId w:val="1"/>
        </w:numPr>
        <w:ind w:firstLine="560" w:firstLineChars="20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行使环境保护方面管理法律、法规、规章规定的对社会生活噪声污染、建筑施工噪声污染、饮食服务业油烟异味烟尘污染、在人口集中区内向大气排放粉尘恶臭气体或含有毒物质气体的行政处理权。</w:t>
      </w:r>
    </w:p>
    <w:p>
      <w:pPr>
        <w:numPr>
          <w:ilvl w:val="0"/>
          <w:numId w:val="1"/>
        </w:numPr>
        <w:ind w:firstLine="560" w:firstLineChars="20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行使对非机动车占道、机动车侵占、破坏人行道路的行政处罚权；负责机动车辆上设立临时停车场征得公安交警部门同意后的审批与管理；负责对公共停车场的管理。</w:t>
      </w:r>
    </w:p>
    <w:p>
      <w:pPr>
        <w:numPr>
          <w:ilvl w:val="0"/>
          <w:numId w:val="1"/>
        </w:numPr>
        <w:ind w:firstLine="560" w:firstLineChars="20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负责城区户外牌匾广告（包括其它户外悬挂物）设置、临时占道的许可与管理；负责门窗改建、立面装修的审核。</w:t>
      </w:r>
    </w:p>
    <w:p>
      <w:pPr>
        <w:numPr>
          <w:ilvl w:val="0"/>
          <w:numId w:val="1"/>
        </w:numPr>
        <w:ind w:firstLine="560" w:firstLineChars="20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负责组织监督城区冬季清运冰雪工作。</w:t>
      </w:r>
    </w:p>
    <w:p>
      <w:pPr>
        <w:numPr>
          <w:ilvl w:val="0"/>
          <w:numId w:val="1"/>
        </w:numPr>
        <w:ind w:firstLine="560" w:firstLineChars="20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完成县委、县政府交办的其它工作任务。</w:t>
      </w:r>
    </w:p>
    <w:p>
      <w:pPr>
        <w:pStyle w:val="2"/>
        <w:keepNext w:val="0"/>
        <w:keepLines w:val="0"/>
        <w:widowControl/>
        <w:suppressLineNumbers w:val="0"/>
        <w:shd w:val="clear" w:fill="FFFFFF"/>
        <w:spacing w:before="180" w:beforeAutospacing="0" w:after="360" w:afterAutospacing="0" w:line="360" w:lineRule="atLeast"/>
        <w:ind w:left="0" w:right="0" w:firstLine="640"/>
        <w:jc w:val="left"/>
        <w:rPr>
          <w:rFonts w:hint="eastAsia" w:asciiTheme="minorEastAsia" w:hAnsiTheme="minorEastAsia" w:eastAsiaTheme="minorEastAsia" w:cstheme="minorEastAsia"/>
          <w:sz w:val="28"/>
          <w:szCs w:val="28"/>
        </w:rPr>
      </w:pP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二、机构设置及部门决算单位构成</w:t>
      </w:r>
    </w:p>
    <w:p>
      <w:pPr>
        <w:pStyle w:val="2"/>
        <w:keepNext w:val="0"/>
        <w:keepLines w:val="0"/>
        <w:widowControl/>
        <w:suppressLineNumbers w:val="0"/>
        <w:spacing w:before="180" w:beforeAutospacing="0" w:after="360" w:afterAutospacing="0" w:line="450" w:lineRule="atLeast"/>
        <w:ind w:right="0" w:firstLine="840" w:firstLineChars="300"/>
        <w:jc w:val="left"/>
        <w:rPr>
          <w:rFonts w:hint="eastAsia" w:asciiTheme="minorEastAsia" w:hAnsiTheme="minorEastAsia" w:eastAsiaTheme="minorEastAsia" w:cstheme="minorEastAsia"/>
          <w:sz w:val="28"/>
          <w:szCs w:val="28"/>
        </w:rPr>
      </w:pPr>
      <w:r>
        <w:rPr>
          <w:rFonts w:hint="eastAsia" w:asciiTheme="minorEastAsia" w:hAnsiTheme="minorEastAsia" w:cstheme="minorEastAsia"/>
          <w:color w:val="333333"/>
          <w:sz w:val="28"/>
          <w:szCs w:val="28"/>
          <w:lang w:eastAsia="zh-CN"/>
        </w:rPr>
        <w:t>我单位</w:t>
      </w:r>
      <w:r>
        <w:rPr>
          <w:rFonts w:hint="eastAsia" w:asciiTheme="minorEastAsia" w:hAnsiTheme="minorEastAsia" w:eastAsiaTheme="minorEastAsia" w:cstheme="minorEastAsia"/>
          <w:color w:val="333333"/>
          <w:sz w:val="28"/>
          <w:szCs w:val="28"/>
        </w:rPr>
        <w:t>为</w:t>
      </w:r>
      <w:r>
        <w:rPr>
          <w:rFonts w:hint="eastAsia" w:asciiTheme="minorEastAsia" w:hAnsiTheme="minorEastAsia" w:cstheme="minorEastAsia"/>
          <w:color w:val="333333"/>
          <w:sz w:val="28"/>
          <w:szCs w:val="28"/>
          <w:lang w:eastAsia="zh-CN"/>
        </w:rPr>
        <w:t>差额事业</w:t>
      </w:r>
      <w:r>
        <w:rPr>
          <w:rFonts w:hint="eastAsia" w:asciiTheme="minorEastAsia" w:hAnsiTheme="minorEastAsia" w:eastAsiaTheme="minorEastAsia" w:cstheme="minorEastAsia"/>
          <w:color w:val="333333"/>
          <w:sz w:val="28"/>
          <w:szCs w:val="28"/>
        </w:rPr>
        <w:t>单位，内设</w:t>
      </w:r>
      <w:r>
        <w:rPr>
          <w:rFonts w:hint="eastAsia" w:asciiTheme="minorEastAsia" w:hAnsiTheme="minorEastAsia" w:cstheme="minorEastAsia"/>
          <w:color w:val="333333"/>
          <w:sz w:val="28"/>
          <w:szCs w:val="28"/>
          <w:lang w:val="en-US" w:eastAsia="zh-CN"/>
        </w:rPr>
        <w:t>7</w:t>
      </w:r>
      <w:r>
        <w:rPr>
          <w:rFonts w:hint="eastAsia" w:asciiTheme="minorEastAsia" w:hAnsiTheme="minorEastAsia" w:eastAsiaTheme="minorEastAsia" w:cstheme="minorEastAsia"/>
          <w:color w:val="333333"/>
          <w:sz w:val="28"/>
          <w:szCs w:val="28"/>
        </w:rPr>
        <w:t>个内设机构，为一级预算单位。</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三、人员构成</w:t>
      </w:r>
    </w:p>
    <w:p>
      <w:pPr>
        <w:pStyle w:val="2"/>
        <w:keepNext w:val="0"/>
        <w:keepLines w:val="0"/>
        <w:widowControl/>
        <w:suppressLineNumbers w:val="0"/>
        <w:spacing w:before="180" w:beforeAutospacing="0" w:after="360" w:afterAutospacing="0" w:line="450" w:lineRule="atLeast"/>
        <w:ind w:left="458"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行政</w:t>
      </w:r>
      <w:r>
        <w:rPr>
          <w:rFonts w:hint="eastAsia" w:asciiTheme="minorEastAsia" w:hAnsiTheme="minorEastAsia" w:cstheme="minorEastAsia"/>
          <w:color w:val="333333"/>
          <w:sz w:val="28"/>
          <w:szCs w:val="28"/>
          <w:lang w:eastAsia="zh-CN"/>
        </w:rPr>
        <w:t>事业</w:t>
      </w:r>
      <w:r>
        <w:rPr>
          <w:rFonts w:hint="eastAsia" w:asciiTheme="minorEastAsia" w:hAnsiTheme="minorEastAsia" w:eastAsiaTheme="minorEastAsia" w:cstheme="minorEastAsia"/>
          <w:color w:val="333333"/>
          <w:sz w:val="28"/>
          <w:szCs w:val="28"/>
        </w:rPr>
        <w:t>单位编制数</w:t>
      </w:r>
      <w:r>
        <w:rPr>
          <w:rFonts w:hint="eastAsia" w:asciiTheme="minorEastAsia" w:hAnsiTheme="minorEastAsia" w:cstheme="minorEastAsia"/>
          <w:color w:val="333333"/>
          <w:sz w:val="28"/>
          <w:szCs w:val="28"/>
          <w:lang w:val="en-US" w:eastAsia="zh-CN"/>
        </w:rPr>
        <w:t>1</w:t>
      </w:r>
      <w:r>
        <w:rPr>
          <w:rFonts w:hint="eastAsia" w:asciiTheme="minorEastAsia" w:hAnsiTheme="minorEastAsia" w:eastAsiaTheme="minorEastAsia" w:cstheme="minorEastAsia"/>
          <w:color w:val="333333"/>
          <w:sz w:val="28"/>
          <w:szCs w:val="28"/>
        </w:rPr>
        <w:t>个，其中行政编制</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，在职</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人，离休</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人；事业编制</w:t>
      </w:r>
      <w:r>
        <w:rPr>
          <w:rFonts w:hint="eastAsia" w:asciiTheme="minorEastAsia" w:hAnsiTheme="minorEastAsia" w:cstheme="minorEastAsia"/>
          <w:color w:val="333333"/>
          <w:sz w:val="28"/>
          <w:szCs w:val="28"/>
          <w:lang w:val="en-US" w:eastAsia="zh-CN"/>
        </w:rPr>
        <w:t>1</w:t>
      </w:r>
      <w:r>
        <w:rPr>
          <w:rFonts w:hint="eastAsia" w:asciiTheme="minorEastAsia" w:hAnsiTheme="minorEastAsia" w:eastAsiaTheme="minorEastAsia" w:cstheme="minorEastAsia"/>
          <w:color w:val="333333"/>
          <w:sz w:val="28"/>
          <w:szCs w:val="28"/>
        </w:rPr>
        <w:t>个，</w:t>
      </w:r>
      <w:r>
        <w:rPr>
          <w:rFonts w:hint="eastAsia" w:asciiTheme="minorEastAsia" w:hAnsiTheme="minorEastAsia" w:cstheme="minorEastAsia"/>
          <w:color w:val="333333"/>
          <w:sz w:val="28"/>
          <w:szCs w:val="28"/>
          <w:lang w:eastAsia="zh-CN"/>
        </w:rPr>
        <w:t>事业编</w:t>
      </w:r>
      <w:r>
        <w:rPr>
          <w:rFonts w:hint="eastAsia" w:asciiTheme="minorEastAsia" w:hAnsiTheme="minorEastAsia" w:cstheme="minorEastAsia"/>
          <w:color w:val="333333"/>
          <w:sz w:val="28"/>
          <w:szCs w:val="28"/>
          <w:lang w:val="en-US" w:eastAsia="zh-CN"/>
        </w:rPr>
        <w:t>130人，</w:t>
      </w:r>
      <w:r>
        <w:rPr>
          <w:rFonts w:hint="eastAsia" w:asciiTheme="minorEastAsia" w:hAnsiTheme="minorEastAsia" w:eastAsiaTheme="minorEastAsia" w:cstheme="minorEastAsia"/>
          <w:color w:val="333333"/>
          <w:sz w:val="28"/>
          <w:szCs w:val="28"/>
        </w:rPr>
        <w:t>在职</w:t>
      </w:r>
      <w:r>
        <w:rPr>
          <w:rFonts w:hint="eastAsia" w:asciiTheme="minorEastAsia" w:hAnsiTheme="minorEastAsia" w:cstheme="minorEastAsia"/>
          <w:color w:val="333333"/>
          <w:sz w:val="28"/>
          <w:szCs w:val="28"/>
          <w:lang w:val="en-US" w:eastAsia="zh-CN"/>
        </w:rPr>
        <w:t>126</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cstheme="minorEastAsia"/>
          <w:color w:val="333333"/>
          <w:sz w:val="28"/>
          <w:szCs w:val="28"/>
          <w:lang w:val="en-US" w:eastAsia="zh-CN"/>
        </w:rPr>
        <w:t>36</w:t>
      </w:r>
      <w:r>
        <w:rPr>
          <w:rFonts w:hint="eastAsia" w:asciiTheme="minorEastAsia" w:hAnsiTheme="minorEastAsia" w:eastAsiaTheme="minorEastAsia" w:cstheme="minorEastAsia"/>
          <w:color w:val="333333"/>
          <w:sz w:val="28"/>
          <w:szCs w:val="28"/>
        </w:rPr>
        <w:t>人。</w:t>
      </w:r>
    </w:p>
    <w:p>
      <w:pPr>
        <w:pStyle w:val="2"/>
        <w:keepNext w:val="0"/>
        <w:keepLines w:val="0"/>
        <w:widowControl/>
        <w:suppressLineNumbers w:val="0"/>
        <w:spacing w:before="180" w:beforeAutospacing="0" w:after="360" w:afterAutospacing="0" w:line="450" w:lineRule="atLeast"/>
        <w:ind w:left="458" w:right="0"/>
        <w:jc w:val="left"/>
        <w:rPr>
          <w:rFonts w:hint="eastAsia" w:asciiTheme="minorEastAsia" w:hAnsiTheme="minorEastAsia" w:eastAsiaTheme="minorEastAsia" w:cstheme="minorEastAsia"/>
          <w:sz w:val="28"/>
          <w:szCs w:val="28"/>
        </w:rPr>
      </w:pP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492" w:beforeAutospacing="0" w:after="672" w:afterAutospacing="0" w:line="450" w:lineRule="atLeast"/>
        <w:ind w:left="262"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二</w:t>
      </w:r>
      <w:r>
        <w:rPr>
          <w:rFonts w:hint="eastAsia" w:asciiTheme="minorEastAsia" w:hAnsiTheme="minorEastAsia" w:eastAsiaTheme="minorEastAsia" w:cstheme="minorEastAsia"/>
          <w:b/>
          <w:color w:val="333333"/>
          <w:sz w:val="28"/>
          <w:szCs w:val="28"/>
        </w:rPr>
        <w:t>部分201</w:t>
      </w:r>
      <w:r>
        <w:rPr>
          <w:rFonts w:hint="eastAsia" w:asciiTheme="minorEastAsia" w:hAnsiTheme="minorEastAsia" w:cstheme="minorEastAsia"/>
          <w:b/>
          <w:color w:val="333333"/>
          <w:sz w:val="28"/>
          <w:szCs w:val="28"/>
          <w:lang w:val="en-US" w:eastAsia="zh-CN"/>
        </w:rPr>
        <w:t>8</w:t>
      </w:r>
      <w:r>
        <w:rPr>
          <w:rFonts w:hint="eastAsia" w:asciiTheme="minorEastAsia" w:hAnsiTheme="minorEastAsia" w:eastAsiaTheme="minorEastAsia" w:cstheme="minorEastAsia"/>
          <w:b/>
          <w:color w:val="333333"/>
          <w:sz w:val="28"/>
          <w:szCs w:val="28"/>
        </w:rPr>
        <w:t>年度部门决算情况说明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79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年度收入总计</w:t>
      </w:r>
      <w:r>
        <w:rPr>
          <w:rFonts w:hint="eastAsia" w:asciiTheme="minorEastAsia" w:hAnsiTheme="minorEastAsia" w:cstheme="minorEastAsia"/>
          <w:i w:val="0"/>
          <w:caps w:val="0"/>
          <w:color w:val="373737"/>
          <w:spacing w:val="0"/>
          <w:sz w:val="28"/>
          <w:szCs w:val="28"/>
          <w:shd w:val="clear" w:fill="FFFFFF"/>
          <w:vertAlign w:val="baseline"/>
          <w:lang w:val="en-US" w:eastAsia="zh-CN"/>
        </w:rPr>
        <w:t>2431</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万元，支出总计</w:t>
      </w:r>
      <w:r>
        <w:rPr>
          <w:rFonts w:hint="eastAsia" w:asciiTheme="minorEastAsia" w:hAnsiTheme="minorEastAsia" w:cstheme="minorEastAsia"/>
          <w:i w:val="0"/>
          <w:caps w:val="0"/>
          <w:color w:val="373737"/>
          <w:spacing w:val="0"/>
          <w:sz w:val="28"/>
          <w:szCs w:val="28"/>
          <w:shd w:val="clear" w:fill="FFFFFF"/>
          <w:vertAlign w:val="baseline"/>
          <w:lang w:val="en-US" w:eastAsia="zh-CN"/>
        </w:rPr>
        <w:t>2564</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上年</w:t>
      </w:r>
      <w:r>
        <w:rPr>
          <w:rFonts w:hint="eastAsia" w:asciiTheme="minorEastAsia" w:hAnsiTheme="minorEastAsia" w:eastAsiaTheme="minorEastAsia" w:cstheme="minorEastAsia"/>
          <w:i w:val="0"/>
          <w:caps w:val="0"/>
          <w:color w:val="373737"/>
          <w:spacing w:val="0"/>
          <w:sz w:val="28"/>
          <w:szCs w:val="28"/>
          <w:shd w:val="clear" w:fill="FFFFFF"/>
          <w:vertAlign w:val="baseline"/>
        </w:rPr>
        <w:t>相比，收入总计</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67</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0.03</w:t>
      </w:r>
      <w:r>
        <w:rPr>
          <w:rFonts w:hint="eastAsia" w:asciiTheme="minorEastAsia" w:hAnsiTheme="minorEastAsia" w:eastAsiaTheme="minorEastAsia" w:cstheme="minorEastAsia"/>
          <w:i w:val="0"/>
          <w:caps w:val="0"/>
          <w:color w:val="373737"/>
          <w:spacing w:val="0"/>
          <w:sz w:val="28"/>
          <w:szCs w:val="28"/>
          <w:shd w:val="clear" w:fill="FFFFFF"/>
          <w:vertAlign w:val="baseline"/>
        </w:rPr>
        <w:t>%；支出总计增加</w:t>
      </w:r>
      <w:r>
        <w:rPr>
          <w:rFonts w:hint="eastAsia" w:asciiTheme="minorEastAsia" w:hAnsiTheme="minorEastAsia" w:cstheme="minorEastAsia"/>
          <w:i w:val="0"/>
          <w:caps w:val="0"/>
          <w:color w:val="373737"/>
          <w:spacing w:val="0"/>
          <w:sz w:val="28"/>
          <w:szCs w:val="28"/>
          <w:shd w:val="clear" w:fill="FFFFFF"/>
          <w:vertAlign w:val="baseline"/>
          <w:lang w:val="en-US" w:eastAsia="zh-CN"/>
        </w:rPr>
        <w:t>66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0.03</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 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年度收入决算情况说明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本年收入合计</w:t>
      </w:r>
      <w:r>
        <w:rPr>
          <w:rFonts w:hint="eastAsia" w:asciiTheme="minorEastAsia" w:hAnsiTheme="minorEastAsia" w:cstheme="minorEastAsia"/>
          <w:i w:val="0"/>
          <w:caps w:val="0"/>
          <w:color w:val="373737"/>
          <w:spacing w:val="0"/>
          <w:sz w:val="28"/>
          <w:szCs w:val="28"/>
          <w:shd w:val="clear" w:fill="FFFFFF"/>
          <w:vertAlign w:val="baseline"/>
          <w:lang w:val="en-US" w:eastAsia="zh-CN"/>
        </w:rPr>
        <w:t>2567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2431</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95</w:t>
      </w:r>
      <w:r>
        <w:rPr>
          <w:rFonts w:hint="eastAsia" w:asciiTheme="minorEastAsia" w:hAnsiTheme="minorEastAsia" w:eastAsiaTheme="minorEastAsia" w:cstheme="minorEastAsia"/>
          <w:i w:val="0"/>
          <w:caps w:val="0"/>
          <w:color w:val="373737"/>
          <w:spacing w:val="0"/>
          <w:sz w:val="28"/>
          <w:szCs w:val="28"/>
          <w:shd w:val="clear" w:fill="FFFFFF"/>
          <w:vertAlign w:val="baseline"/>
        </w:rPr>
        <w:t>%；其他收入</w:t>
      </w:r>
      <w:r>
        <w:rPr>
          <w:rFonts w:hint="eastAsia" w:asciiTheme="minorEastAsia" w:hAnsiTheme="minorEastAsia" w:cstheme="minorEastAsia"/>
          <w:i w:val="0"/>
          <w:caps w:val="0"/>
          <w:color w:val="373737"/>
          <w:spacing w:val="0"/>
          <w:sz w:val="28"/>
          <w:szCs w:val="28"/>
          <w:shd w:val="clear" w:fill="FFFFFF"/>
          <w:vertAlign w:val="baseline"/>
          <w:lang w:val="en-US" w:eastAsia="zh-CN"/>
        </w:rPr>
        <w:t>136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5</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三、201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本年支出合计</w:t>
      </w:r>
      <w:r>
        <w:rPr>
          <w:rFonts w:hint="eastAsia" w:asciiTheme="minorEastAsia" w:hAnsiTheme="minorEastAsia" w:cstheme="minorEastAsia"/>
          <w:i w:val="0"/>
          <w:caps w:val="0"/>
          <w:color w:val="373737"/>
          <w:spacing w:val="0"/>
          <w:sz w:val="28"/>
          <w:szCs w:val="28"/>
          <w:shd w:val="clear" w:fill="FFFFFF"/>
          <w:vertAlign w:val="baseline"/>
          <w:lang w:val="en-US" w:eastAsia="zh-CN"/>
        </w:rPr>
        <w:t>2564</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万元，其中：基本支出</w:t>
      </w:r>
      <w:r>
        <w:rPr>
          <w:rFonts w:hint="eastAsia" w:asciiTheme="minorEastAsia" w:hAnsiTheme="minorEastAsia" w:cstheme="minorEastAsia"/>
          <w:i w:val="0"/>
          <w:caps w:val="0"/>
          <w:color w:val="373737"/>
          <w:spacing w:val="0"/>
          <w:sz w:val="28"/>
          <w:szCs w:val="28"/>
          <w:shd w:val="clear" w:fill="FFFFFF"/>
          <w:vertAlign w:val="baseline"/>
          <w:lang w:val="en-US" w:eastAsia="zh-CN"/>
        </w:rPr>
        <w:t>1439</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56</w:t>
      </w:r>
      <w:r>
        <w:rPr>
          <w:rFonts w:hint="eastAsia" w:asciiTheme="minorEastAsia" w:hAnsiTheme="minorEastAsia" w:eastAsiaTheme="minorEastAsia" w:cstheme="minorEastAsia"/>
          <w:i w:val="0"/>
          <w:caps w:val="0"/>
          <w:color w:val="373737"/>
          <w:spacing w:val="0"/>
          <w:sz w:val="28"/>
          <w:szCs w:val="28"/>
          <w:shd w:val="clear" w:fill="FFFFFF"/>
          <w:vertAlign w:val="baseline"/>
        </w:rPr>
        <w:t>%；项目支出</w:t>
      </w:r>
      <w:r>
        <w:rPr>
          <w:rFonts w:hint="eastAsia" w:asciiTheme="minorEastAsia" w:hAnsiTheme="minorEastAsia" w:cstheme="minorEastAsia"/>
          <w:i w:val="0"/>
          <w:caps w:val="0"/>
          <w:color w:val="373737"/>
          <w:spacing w:val="0"/>
          <w:sz w:val="28"/>
          <w:szCs w:val="28"/>
          <w:shd w:val="clear" w:fill="FFFFFF"/>
          <w:vertAlign w:val="baseline"/>
          <w:lang w:val="en-US" w:eastAsia="zh-CN"/>
        </w:rPr>
        <w:t>1125</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44</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四、201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年度财政拨款收入支出决算总体情况说明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both"/>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2431</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67</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0.03 </w:t>
      </w: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2431</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67</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0.03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五、201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（一）财政拨款支出决算总体情况。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3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2431</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万元，占本年支出合计的</w:t>
      </w:r>
      <w:r>
        <w:rPr>
          <w:rFonts w:hint="eastAsia" w:asciiTheme="minorEastAsia" w:hAnsiTheme="minorEastAsia" w:cstheme="minorEastAsia"/>
          <w:i w:val="0"/>
          <w:caps w:val="0"/>
          <w:color w:val="373737"/>
          <w:spacing w:val="0"/>
          <w:sz w:val="28"/>
          <w:szCs w:val="28"/>
          <w:shd w:val="clear" w:fill="FFFFFF"/>
          <w:vertAlign w:val="baseline"/>
          <w:lang w:val="en-US" w:eastAsia="zh-CN"/>
        </w:rPr>
        <w:t>95</w:t>
      </w:r>
      <w:r>
        <w:rPr>
          <w:rFonts w:hint="eastAsia" w:asciiTheme="minorEastAsia" w:hAnsiTheme="minorEastAsia" w:eastAsiaTheme="minorEastAsia" w:cstheme="minorEastAsia"/>
          <w:i w:val="0"/>
          <w:caps w:val="0"/>
          <w:color w:val="373737"/>
          <w:spacing w:val="0"/>
          <w:sz w:val="28"/>
          <w:szCs w:val="28"/>
          <w:shd w:val="clear" w:fill="FFFFFF"/>
          <w:vertAlign w:val="baseline"/>
        </w:rPr>
        <w:t>%。与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年相比，财政拨款支出</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67</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0.03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（二）财政拨款支出决算结构情况。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102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2431</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万元，主要用于以下方面：</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社会保障和就业（类）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215</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0.09</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医疗卫生与计划生育（类）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农林水（类）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10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0.01</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住房保障（类）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44</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0.02</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eastAsia" w:asciiTheme="minorEastAsia" w:hAnsiTheme="minorEastAsia" w:cstheme="minorEastAsia"/>
          <w:i w:val="0"/>
          <w:caps w:val="0"/>
          <w:color w:val="373737"/>
          <w:spacing w:val="0"/>
          <w:sz w:val="28"/>
          <w:szCs w:val="28"/>
          <w:shd w:val="clear" w:fill="FFFFFF"/>
          <w:vertAlign w:val="baseline"/>
          <w:lang w:eastAsia="zh-CN"/>
        </w:rPr>
        <w:t>（根据单位实际科目）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（三）财政拨款支出决算具体情况。</w:t>
      </w:r>
      <w:r>
        <w:rPr>
          <w:rStyle w:val="5"/>
          <w:rFonts w:hint="eastAsia" w:asciiTheme="minorEastAsia" w:hAnsiTheme="minorEastAsia" w:cstheme="minorEastAsia"/>
          <w:b/>
          <w:i w:val="0"/>
          <w:caps w:val="0"/>
          <w:color w:val="373737"/>
          <w:spacing w:val="0"/>
          <w:sz w:val="28"/>
          <w:szCs w:val="28"/>
          <w:shd w:val="clear" w:fill="FFFFFF"/>
          <w:vertAlign w:val="baseline"/>
          <w:lang w:eastAsia="zh-CN"/>
        </w:rPr>
        <w:t>（根据单位实际科目）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990"/>
        <w:jc w:val="left"/>
        <w:textAlignment w:val="baseline"/>
        <w:rPr>
          <w:rFonts w:hint="eastAsia" w:asciiTheme="minorEastAsia" w:hAnsiTheme="minorEastAsia" w:eastAsiaTheme="minorEastAsia" w:cstheme="minorEastAsia"/>
          <w:i w:val="0"/>
          <w:caps w:val="0"/>
          <w:color w:val="333333"/>
          <w:spacing w:val="0"/>
          <w:sz w:val="28"/>
          <w:szCs w:val="28"/>
          <w:lang w:val="en-US" w:eastAsia="zh-CN"/>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704</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2431</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345</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%。决算数大于预算数的主要原因：一是201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年在职、离退休职工工资增长了和由于工资的增长相应的医疗保险、住房公积金、住房提租补贴相应的缴交比例也随之增加，所以决算数大于预算数；二是201</w:t>
      </w:r>
      <w:r>
        <w:rPr>
          <w:rFonts w:hint="eastAsia" w:asciiTheme="minorEastAsia" w:hAnsiTheme="minorEastAsia" w:cstheme="minorEastAsia"/>
          <w:i w:val="0"/>
          <w:caps w:val="0"/>
          <w:color w:val="373737"/>
          <w:spacing w:val="0"/>
          <w:sz w:val="28"/>
          <w:szCs w:val="28"/>
          <w:shd w:val="clear" w:fill="FFFFFF"/>
          <w:vertAlign w:val="baseline"/>
          <w:lang w:val="en-US" w:eastAsia="zh-CN"/>
        </w:rPr>
        <w:t>7</w:t>
      </w:r>
      <w:r>
        <w:rPr>
          <w:rFonts w:hint="eastAsia" w:asciiTheme="minorEastAsia" w:hAnsiTheme="minorEastAsia" w:eastAsiaTheme="minorEastAsia" w:cstheme="minorEastAsia"/>
          <w:i w:val="0"/>
          <w:caps w:val="0"/>
          <w:color w:val="373737"/>
          <w:spacing w:val="0"/>
          <w:sz w:val="28"/>
          <w:szCs w:val="28"/>
          <w:shd w:val="clear" w:fill="FFFFFF"/>
          <w:vertAlign w:val="baseline"/>
        </w:rPr>
        <w:t>年增加了行政管理事务等项目资金。其中：</w:t>
      </w:r>
      <w:r>
        <w:rPr>
          <w:rFonts w:hint="eastAsia" w:asciiTheme="minorEastAsia" w:hAnsiTheme="minorEastAsia" w:cstheme="minorEastAsia"/>
          <w:i w:val="0"/>
          <w:caps w:val="0"/>
          <w:color w:val="373737"/>
          <w:spacing w:val="0"/>
          <w:sz w:val="28"/>
          <w:szCs w:val="28"/>
          <w:shd w:val="clear" w:fill="FFFFFF"/>
          <w:vertAlign w:val="baseline"/>
          <w:lang w:eastAsia="zh-CN"/>
        </w:rPr>
        <w:t>人员经费增加了</w:t>
      </w:r>
      <w:r>
        <w:rPr>
          <w:rFonts w:hint="eastAsia" w:asciiTheme="minorEastAsia" w:hAnsiTheme="minorEastAsia" w:cstheme="minorEastAsia"/>
          <w:i w:val="0"/>
          <w:caps w:val="0"/>
          <w:color w:val="373737"/>
          <w:spacing w:val="0"/>
          <w:sz w:val="28"/>
          <w:szCs w:val="28"/>
          <w:shd w:val="clear" w:fill="FFFFFF"/>
          <w:vertAlign w:val="baseline"/>
          <w:lang w:val="en-US" w:eastAsia="zh-CN"/>
        </w:rPr>
        <w:t>26万元，日常公用经费增加了884万元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990"/>
        <w:jc w:val="left"/>
        <w:textAlignment w:val="baseline"/>
        <w:rPr>
          <w:rFonts w:hint="eastAsia" w:asciiTheme="minorEastAsia" w:hAnsiTheme="minorEastAsia" w:eastAsiaTheme="minorEastAsia" w:cstheme="minorEastAsia"/>
          <w:i w:val="0"/>
          <w:caps w:val="0"/>
          <w:color w:val="333333"/>
          <w:spacing w:val="0"/>
          <w:sz w:val="28"/>
          <w:szCs w:val="28"/>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1. 社会保障和就业（类）行政事业单位离退休（款）未归口管理的行政单位离退休（项）。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215</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年离退休职工工资增长了。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2. 医疗卫生和计划生育（类）医疗保障（款）行政单位医疗（项）。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100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%。决算数大于预算数的主要原因在职职工增长了工资，使医疗保险的缴交比例增加了。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3. 农林水（类）农业（款）行政运行（项）。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10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年增加了行政管理事务等项目资金。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4. 住房保障（类）住房改革支出（款）住房公积金（项）。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46</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44</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96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年在职职工</w:t>
      </w:r>
      <w:r>
        <w:rPr>
          <w:rFonts w:hint="eastAsia" w:asciiTheme="minorEastAsia" w:hAnsiTheme="minorEastAsia" w:cstheme="minorEastAsia"/>
          <w:i w:val="0"/>
          <w:caps w:val="0"/>
          <w:color w:val="373737"/>
          <w:spacing w:val="0"/>
          <w:sz w:val="28"/>
          <w:szCs w:val="28"/>
          <w:shd w:val="clear" w:fill="FFFFFF"/>
          <w:vertAlign w:val="baseline"/>
          <w:lang w:eastAsia="zh-CN"/>
        </w:rPr>
        <w:t>有退休人员</w:t>
      </w:r>
      <w:r>
        <w:rPr>
          <w:rFonts w:hint="eastAsia" w:asciiTheme="minorEastAsia" w:hAnsiTheme="minorEastAsia" w:eastAsiaTheme="minorEastAsia" w:cstheme="minorEastAsia"/>
          <w:i w:val="0"/>
          <w:caps w:val="0"/>
          <w:color w:val="373737"/>
          <w:spacing w:val="0"/>
          <w:sz w:val="28"/>
          <w:szCs w:val="28"/>
          <w:shd w:val="clear" w:fill="FFFFFF"/>
          <w:vertAlign w:val="baseline"/>
        </w:rPr>
        <w:t>，使住房公积金的缴</w:t>
      </w:r>
      <w:r>
        <w:rPr>
          <w:rFonts w:hint="eastAsia" w:asciiTheme="minorEastAsia" w:hAnsiTheme="minorEastAsia" w:cstheme="minorEastAsia"/>
          <w:i w:val="0"/>
          <w:caps w:val="0"/>
          <w:color w:val="373737"/>
          <w:spacing w:val="0"/>
          <w:sz w:val="28"/>
          <w:szCs w:val="28"/>
          <w:shd w:val="clear" w:fill="FFFFFF"/>
          <w:vertAlign w:val="baseline"/>
          <w:lang w:eastAsia="zh-CN"/>
        </w:rPr>
        <w:t>费减少</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270" w:firstLine="31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六、201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年度一般公共预算财政拨款基本支出决算情况说明。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105"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年度财政拨款基本支出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2431</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万元，其中：人员经费</w:t>
      </w:r>
      <w:r>
        <w:rPr>
          <w:rFonts w:hint="eastAsia" w:asciiTheme="minorEastAsia" w:hAnsiTheme="minorEastAsia" w:cstheme="minorEastAsia"/>
          <w:i w:val="0"/>
          <w:caps w:val="0"/>
          <w:color w:val="373737"/>
          <w:spacing w:val="0"/>
          <w:sz w:val="28"/>
          <w:szCs w:val="28"/>
          <w:shd w:val="clear" w:fill="FFFFFF"/>
          <w:vertAlign w:val="baseline"/>
          <w:lang w:val="en-US" w:eastAsia="zh-CN"/>
        </w:rPr>
        <w:t>873</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基本工资、津贴补贴、奖金、其他社会保障缴费、伙食补助费、其他工资福利支出、离休费、退休费、医疗费、奖励金、住房公积金、提租补贴、采暖补贴、其他对个人和家庭的补助支出；公用经费</w:t>
      </w:r>
      <w:r>
        <w:rPr>
          <w:rFonts w:hint="eastAsia" w:asciiTheme="minorEastAsia" w:hAnsiTheme="minorEastAsia" w:cstheme="minorEastAsia"/>
          <w:i w:val="0"/>
          <w:caps w:val="0"/>
          <w:color w:val="373737"/>
          <w:spacing w:val="0"/>
          <w:sz w:val="28"/>
          <w:szCs w:val="28"/>
          <w:shd w:val="clear" w:fill="FFFFFF"/>
          <w:vertAlign w:val="baseline"/>
          <w:lang w:val="en-US" w:eastAsia="zh-CN"/>
        </w:rPr>
        <w:t>1558</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万元，主要包括：办公费、印刷费、水费、电费、邮电费、取暖费、物业费、差旅费、维修（护）费、专用材料费、劳务费、工会经费、福利费、其他交通费用、办公设备购置。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55" w:right="27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七、201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年度一般公共预算财政拨款“三公”经费支出决算情况说明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（一）“三公”经费财政拨款支出决算总体情况说明。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279" w:leftChars="133" w:right="0" w:firstLine="579" w:firstLineChars="207"/>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10.4</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10</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.4</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%，其中：因公出国（境）费支出决算为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0.4</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年度“三公”经费支出决算数与预算数持平。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年度“三公”经费财政拨款支出决算数比</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年增</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%，公务用车购置及运行费支出决算0万元，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0 </w:t>
      </w:r>
      <w:r>
        <w:rPr>
          <w:rFonts w:hint="eastAsia" w:asciiTheme="minorEastAsia" w:hAnsiTheme="minorEastAsia" w:eastAsiaTheme="minorEastAsia" w:cstheme="minorEastAsia"/>
          <w:i w:val="0"/>
          <w:caps w:val="0"/>
          <w:color w:val="373737"/>
          <w:spacing w:val="0"/>
          <w:sz w:val="28"/>
          <w:szCs w:val="28"/>
          <w:shd w:val="clear" w:fill="FFFFFF"/>
          <w:vertAlign w:val="baseline"/>
        </w:rPr>
        <w:t>%，原因为：</w:t>
      </w:r>
      <w:r>
        <w:rPr>
          <w:rFonts w:hint="eastAsia" w:asciiTheme="minorEastAsia" w:hAnsiTheme="minorEastAsia" w:cstheme="minorEastAsia"/>
          <w:i w:val="0"/>
          <w:caps w:val="0"/>
          <w:color w:val="373737"/>
          <w:spacing w:val="0"/>
          <w:sz w:val="28"/>
          <w:szCs w:val="28"/>
          <w:shd w:val="clear" w:fill="FFFFFF"/>
          <w:vertAlign w:val="baseline"/>
          <w:lang w:eastAsia="zh-CN"/>
        </w:rPr>
        <w:t>部门严格执行三公经费缩减，车改后车辆上交</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；公务接待费支出决算0万元，增长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%，原因为：</w:t>
      </w:r>
      <w:r>
        <w:rPr>
          <w:rFonts w:hint="eastAsia" w:asciiTheme="minorEastAsia" w:hAnsiTheme="minorEastAsia" w:cstheme="minorEastAsia"/>
          <w:i w:val="0"/>
          <w:caps w:val="0"/>
          <w:color w:val="373737"/>
          <w:spacing w:val="0"/>
          <w:sz w:val="28"/>
          <w:szCs w:val="28"/>
          <w:shd w:val="clear" w:fill="FFFFFF"/>
          <w:vertAlign w:val="baseline"/>
          <w:lang w:eastAsia="zh-CN"/>
        </w:rPr>
        <w:t>严格按照上级标准，缩减公务接待开支</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（二）“三公”经费财政拨款支出决算具体情况说明。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年度“三公”经费财政拨款支出决算中，因公出国（境）费支出决算</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0 </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10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96</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0.4</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4</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1.因公出国（境）费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万元。全年安排因公出国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（境）团组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个，累计</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人次。开支内容包括：出国人员差旅费</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2.公务用车购置及运行费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10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公务用车购置</w:t>
      </w:r>
      <w:r>
        <w:rPr>
          <w:rFonts w:hint="eastAsia" w:asciiTheme="minorEastAsia" w:hAnsiTheme="minorEastAsia" w:eastAsiaTheme="minorEastAsia" w:cstheme="minorEastAsia"/>
          <w:i w:val="0"/>
          <w:caps w:val="0"/>
          <w:color w:val="373737"/>
          <w:spacing w:val="0"/>
          <w:sz w:val="28"/>
          <w:szCs w:val="28"/>
          <w:shd w:val="clear" w:fill="FFFFFF"/>
          <w:vertAlign w:val="baseline"/>
        </w:rPr>
        <w:t>支出为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公务用车运行</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10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公务用车保有量</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5</w:t>
      </w:r>
      <w:r>
        <w:rPr>
          <w:rFonts w:hint="eastAsia" w:asciiTheme="minorEastAsia" w:hAnsiTheme="minorEastAsia" w:eastAsiaTheme="minorEastAsia" w:cstheme="minorEastAsia"/>
          <w:i w:val="0"/>
          <w:caps w:val="0"/>
          <w:color w:val="373737"/>
          <w:spacing w:val="0"/>
          <w:sz w:val="28"/>
          <w:szCs w:val="28"/>
          <w:shd w:val="clear" w:fill="FFFFFF"/>
          <w:vertAlign w:val="baseline"/>
        </w:rPr>
        <w:t>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3.公务接待费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0.4</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万元。其中：国内公务接待</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0.4</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万元，国内公务接待批次</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15</w:t>
      </w:r>
      <w:r>
        <w:rPr>
          <w:rFonts w:hint="eastAsia" w:asciiTheme="minorEastAsia" w:hAnsiTheme="minorEastAsia" w:eastAsiaTheme="minorEastAsia" w:cstheme="minorEastAsia"/>
          <w:i w:val="0"/>
          <w:caps w:val="0"/>
          <w:color w:val="373737"/>
          <w:spacing w:val="0"/>
          <w:sz w:val="28"/>
          <w:szCs w:val="28"/>
          <w:shd w:val="clear" w:fill="FFFFFF"/>
          <w:vertAlign w:val="baseline"/>
        </w:rPr>
        <w:t>个，国内公务接待人次</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150</w:t>
      </w:r>
      <w:r>
        <w:rPr>
          <w:rFonts w:hint="eastAsia" w:asciiTheme="minorEastAsia" w:hAnsiTheme="minorEastAsia" w:eastAsiaTheme="minorEastAsia" w:cstheme="minorEastAsia"/>
          <w:i w:val="0"/>
          <w:caps w:val="0"/>
          <w:color w:val="373737"/>
          <w:spacing w:val="0"/>
          <w:sz w:val="28"/>
          <w:szCs w:val="28"/>
          <w:shd w:val="clear" w:fill="FFFFFF"/>
          <w:vertAlign w:val="baseline"/>
        </w:rPr>
        <w:t>人；国（境）外公务接待</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万元，国（境）外公务接待批次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个，国（境）外公务接待人次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八、其他重要事项的情况说明</w:t>
      </w:r>
      <w:bookmarkStart w:id="0" w:name="_GoBack"/>
      <w:bookmarkEnd w:id="0"/>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（一）机关运行经费支出情况。</w:t>
      </w:r>
    </w:p>
    <w:p>
      <w:pPr>
        <w:pStyle w:val="2"/>
        <w:keepNext w:val="0"/>
        <w:keepLines w:val="0"/>
        <w:widowControl/>
        <w:suppressLineNumbers w:val="0"/>
        <w:spacing w:before="180" w:beforeAutospacing="0" w:after="360" w:afterAutospacing="0" w:line="450" w:lineRule="atLeast"/>
        <w:ind w:left="0" w:right="0" w:firstLine="848"/>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本部门 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年度机关运行经费支出</w:t>
      </w:r>
      <w:r>
        <w:rPr>
          <w:rFonts w:hint="eastAsia" w:asciiTheme="minorEastAsia" w:hAnsiTheme="minorEastAsia" w:cstheme="minorEastAsia"/>
          <w:color w:val="333333"/>
          <w:sz w:val="28"/>
          <w:szCs w:val="28"/>
          <w:lang w:val="en-US" w:eastAsia="zh-CN"/>
        </w:rPr>
        <w:t>2431</w:t>
      </w:r>
      <w:r>
        <w:rPr>
          <w:rFonts w:hint="eastAsia" w:asciiTheme="minorEastAsia" w:hAnsiTheme="minorEastAsia" w:eastAsiaTheme="minorEastAsia" w:cstheme="minorEastAsia"/>
          <w:color w:val="333333"/>
          <w:sz w:val="28"/>
          <w:szCs w:val="28"/>
        </w:rPr>
        <w:t>万元（与部门决算中行政单位和参照公务员法管理事业单位一般公共预算财政拨款基本支出中公用经费之和保持一致），比</w:t>
      </w:r>
      <w:r>
        <w:rPr>
          <w:rFonts w:hint="eastAsia" w:asciiTheme="minorEastAsia" w:hAnsiTheme="minorEastAsia" w:cstheme="minorEastAsia"/>
          <w:color w:val="333333"/>
          <w:sz w:val="28"/>
          <w:szCs w:val="28"/>
          <w:lang w:eastAsia="zh-CN"/>
        </w:rPr>
        <w:t>上</w:t>
      </w:r>
      <w:r>
        <w:rPr>
          <w:rFonts w:hint="eastAsia" w:asciiTheme="minorEastAsia" w:hAnsiTheme="minorEastAsia" w:eastAsiaTheme="minorEastAsia" w:cstheme="minorEastAsia"/>
          <w:color w:val="333333"/>
          <w:sz w:val="28"/>
          <w:szCs w:val="28"/>
        </w:rPr>
        <w:t>年减少</w:t>
      </w:r>
      <w:r>
        <w:rPr>
          <w:rFonts w:hint="eastAsia" w:asciiTheme="minorEastAsia" w:hAnsiTheme="minorEastAsia" w:cstheme="minorEastAsia"/>
          <w:color w:val="333333"/>
          <w:sz w:val="28"/>
          <w:szCs w:val="28"/>
          <w:lang w:val="en-US" w:eastAsia="zh-CN"/>
        </w:rPr>
        <w:t>67</w:t>
      </w:r>
      <w:r>
        <w:rPr>
          <w:rFonts w:hint="eastAsia" w:asciiTheme="minorEastAsia" w:hAnsiTheme="minorEastAsia" w:eastAsiaTheme="minorEastAsia" w:cstheme="minorEastAsia"/>
          <w:color w:val="333333"/>
          <w:sz w:val="28"/>
          <w:szCs w:val="28"/>
        </w:rPr>
        <w:t>万元，降低</w:t>
      </w:r>
      <w:r>
        <w:rPr>
          <w:rFonts w:hint="eastAsia" w:asciiTheme="minorEastAsia" w:hAnsiTheme="minorEastAsia" w:cstheme="minorEastAsia"/>
          <w:color w:val="333333"/>
          <w:sz w:val="28"/>
          <w:szCs w:val="28"/>
          <w:lang w:val="en-US" w:eastAsia="zh-CN"/>
        </w:rPr>
        <w:t>0.03</w:t>
      </w:r>
      <w:r>
        <w:rPr>
          <w:rFonts w:hint="eastAsia" w:asciiTheme="minorEastAsia" w:hAnsiTheme="minorEastAsia" w:eastAsiaTheme="minorEastAsia" w:cstheme="minorEastAsia"/>
          <w:color w:val="333333"/>
          <w:sz w:val="28"/>
          <w:szCs w:val="28"/>
        </w:rPr>
        <w:t>%。主要原因是：</w:t>
      </w:r>
      <w:r>
        <w:rPr>
          <w:rFonts w:hint="eastAsia" w:asciiTheme="minorEastAsia" w:hAnsiTheme="minorEastAsia" w:cstheme="minorEastAsia"/>
          <w:color w:val="333333"/>
          <w:sz w:val="28"/>
          <w:szCs w:val="28"/>
          <w:lang w:eastAsia="zh-CN"/>
        </w:rPr>
        <w:t>在职人员退休</w:t>
      </w:r>
      <w:r>
        <w:rPr>
          <w:rFonts w:hint="eastAsia" w:asciiTheme="minorEastAsia" w:hAnsiTheme="minorEastAsia" w:eastAsiaTheme="minorEastAsia" w:cstheme="minorEastAsia"/>
          <w:color w:val="333333"/>
          <w:sz w:val="28"/>
          <w:szCs w:val="28"/>
        </w:rPr>
        <w:t>。</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（二）政府采购支出情况。</w:t>
      </w:r>
    </w:p>
    <w:p>
      <w:pPr>
        <w:pStyle w:val="2"/>
        <w:keepNext w:val="0"/>
        <w:keepLines w:val="0"/>
        <w:widowControl/>
        <w:suppressLineNumbers w:val="0"/>
        <w:spacing w:before="180" w:beforeAutospacing="0" w:after="360" w:afterAutospacing="0" w:line="450" w:lineRule="atLeast"/>
        <w:ind w:left="0" w:right="0" w:firstLine="8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年度政府采购支出总额</w:t>
      </w:r>
      <w:r>
        <w:rPr>
          <w:rFonts w:hint="eastAsia" w:asciiTheme="minorEastAsia" w:hAnsiTheme="minorEastAsia" w:cstheme="minorEastAsia"/>
          <w:color w:val="333333"/>
          <w:sz w:val="28"/>
          <w:szCs w:val="28"/>
          <w:lang w:val="en-US" w:eastAsia="zh-CN"/>
        </w:rPr>
        <w:t>49</w:t>
      </w:r>
      <w:r>
        <w:rPr>
          <w:rFonts w:hint="eastAsia" w:asciiTheme="minorEastAsia" w:hAnsiTheme="minorEastAsia" w:eastAsiaTheme="minorEastAsia" w:cstheme="minorEastAsia"/>
          <w:color w:val="333333"/>
          <w:sz w:val="28"/>
          <w:szCs w:val="28"/>
        </w:rPr>
        <w:t>万元，其中：政府采购货物支出</w:t>
      </w:r>
      <w:r>
        <w:rPr>
          <w:rFonts w:hint="eastAsia" w:asciiTheme="minorEastAsia" w:hAnsiTheme="minorEastAsia" w:cstheme="minorEastAsia"/>
          <w:color w:val="333333"/>
          <w:sz w:val="28"/>
          <w:szCs w:val="28"/>
          <w:lang w:val="en-US" w:eastAsia="zh-CN"/>
        </w:rPr>
        <w:t>49</w:t>
      </w:r>
      <w:r>
        <w:rPr>
          <w:rFonts w:hint="eastAsia" w:asciiTheme="minorEastAsia" w:hAnsiTheme="minorEastAsia" w:eastAsiaTheme="minorEastAsia" w:cstheme="minorEastAsia"/>
          <w:color w:val="333333"/>
          <w:sz w:val="28"/>
          <w:szCs w:val="28"/>
        </w:rPr>
        <w:t>万元、政府采购工程支出</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万元、政府采购服务支出</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（三）国有资产占用情况。</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截至 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年 12 月 31 日，本部门共有车辆</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辆，其中，一般公务用车 0 辆、一般执法执勤用</w:t>
      </w:r>
      <w:r>
        <w:rPr>
          <w:rFonts w:hint="eastAsia" w:asciiTheme="minorEastAsia" w:hAnsiTheme="minorEastAsia" w:cstheme="minorEastAsia"/>
          <w:color w:val="333333"/>
          <w:sz w:val="28"/>
          <w:szCs w:val="28"/>
          <w:lang w:val="en-US" w:eastAsia="zh-CN"/>
        </w:rPr>
        <w:t>5</w:t>
      </w:r>
      <w:r>
        <w:rPr>
          <w:rFonts w:hint="eastAsia" w:asciiTheme="minorEastAsia" w:hAnsiTheme="minorEastAsia" w:eastAsiaTheme="minorEastAsia" w:cstheme="minorEastAsia"/>
          <w:color w:val="333333"/>
          <w:sz w:val="28"/>
          <w:szCs w:val="28"/>
        </w:rPr>
        <w:t>辆、特种专业技术用车</w:t>
      </w:r>
      <w:r>
        <w:rPr>
          <w:rFonts w:hint="eastAsia" w:asciiTheme="minorEastAsia" w:hAnsiTheme="minorEastAsia" w:cstheme="minorEastAsia"/>
          <w:color w:val="333333"/>
          <w:sz w:val="28"/>
          <w:szCs w:val="28"/>
          <w:lang w:val="en-US" w:eastAsia="zh-CN"/>
        </w:rPr>
        <w:t>53</w:t>
      </w:r>
      <w:r>
        <w:rPr>
          <w:rFonts w:hint="eastAsia" w:asciiTheme="minorEastAsia" w:hAnsiTheme="minorEastAsia" w:eastAsiaTheme="minorEastAsia" w:cstheme="minorEastAsia"/>
          <w:color w:val="333333"/>
          <w:sz w:val="28"/>
          <w:szCs w:val="28"/>
        </w:rPr>
        <w:t>辆、其他用车</w:t>
      </w:r>
      <w:r>
        <w:rPr>
          <w:rFonts w:hint="eastAsia" w:asciiTheme="minorEastAsia" w:hAnsiTheme="minorEastAsia" w:cstheme="minorEastAsia"/>
          <w:color w:val="333333"/>
          <w:sz w:val="28"/>
          <w:szCs w:val="28"/>
          <w:lang w:val="en-US" w:eastAsia="zh-CN"/>
        </w:rPr>
        <w:t>1</w:t>
      </w:r>
      <w:r>
        <w:rPr>
          <w:rFonts w:hint="eastAsia" w:asciiTheme="minorEastAsia" w:hAnsiTheme="minorEastAsia" w:eastAsiaTheme="minorEastAsia" w:cstheme="minorEastAsia"/>
          <w:color w:val="333333"/>
          <w:sz w:val="28"/>
          <w:szCs w:val="28"/>
        </w:rPr>
        <w:t>辆，其他用车主要是办案用车；单位价值 50 万万元以上通用设备</w:t>
      </w:r>
      <w:r>
        <w:rPr>
          <w:rFonts w:hint="eastAsia" w:asciiTheme="minorEastAsia" w:hAnsiTheme="minorEastAsia" w:cstheme="minorEastAsia"/>
          <w:color w:val="333333"/>
          <w:sz w:val="28"/>
          <w:szCs w:val="28"/>
          <w:lang w:val="en-US" w:eastAsia="zh-CN"/>
        </w:rPr>
        <w:t>4</w:t>
      </w:r>
      <w:r>
        <w:rPr>
          <w:rFonts w:hint="eastAsia" w:asciiTheme="minorEastAsia" w:hAnsiTheme="minorEastAsia" w:eastAsiaTheme="minorEastAsia" w:cstheme="minorEastAsia"/>
          <w:color w:val="333333"/>
          <w:sz w:val="28"/>
          <w:szCs w:val="28"/>
        </w:rPr>
        <w:t>台（套），单价100 万万元以上专用设备</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台（套）。</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（四）201</w:t>
      </w:r>
      <w:r>
        <w:rPr>
          <w:rFonts w:hint="eastAsia" w:asciiTheme="minorEastAsia" w:hAnsiTheme="minorEastAsia" w:cstheme="minorEastAsia"/>
          <w:b/>
          <w:color w:val="333333"/>
          <w:sz w:val="28"/>
          <w:szCs w:val="28"/>
          <w:lang w:val="en-US" w:eastAsia="zh-CN"/>
        </w:rPr>
        <w:t>8</w:t>
      </w:r>
      <w:r>
        <w:rPr>
          <w:rFonts w:hint="eastAsia" w:asciiTheme="minorEastAsia" w:hAnsiTheme="minorEastAsia" w:eastAsiaTheme="minorEastAsia" w:cstheme="minorEastAsia"/>
          <w:b/>
          <w:color w:val="333333"/>
          <w:sz w:val="28"/>
          <w:szCs w:val="28"/>
        </w:rPr>
        <w:t>年度预算绩效情况说明</w:t>
      </w:r>
    </w:p>
    <w:p>
      <w:pPr>
        <w:pStyle w:val="2"/>
        <w:keepNext w:val="0"/>
        <w:keepLines w:val="0"/>
        <w:widowControl/>
        <w:suppressLineNumbers w:val="0"/>
        <w:spacing w:before="180" w:beforeAutospacing="0" w:after="360" w:afterAutospacing="0" w:line="450" w:lineRule="atLeast"/>
        <w:ind w:left="0" w:right="0" w:firstLine="707"/>
        <w:jc w:val="left"/>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color w:val="333333"/>
          <w:sz w:val="28"/>
          <w:szCs w:val="28"/>
        </w:rPr>
        <w:t>根据财政预算管理要求和年初设定的绩效目标，我单位组织对 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年度项目支出全面开展绩效自评。共涉及资金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万元，自评覆盖率达到100%。</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三</w:t>
      </w:r>
      <w:r>
        <w:rPr>
          <w:rFonts w:hint="eastAsia" w:asciiTheme="minorEastAsia" w:hAnsiTheme="minorEastAsia" w:eastAsiaTheme="minorEastAsia" w:cstheme="minorEastAsia"/>
          <w:b/>
          <w:color w:val="333333"/>
          <w:sz w:val="28"/>
          <w:szCs w:val="28"/>
        </w:rPr>
        <w:t>部分 名词解释</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一、财政拨款收入</w:t>
      </w:r>
      <w:r>
        <w:rPr>
          <w:rFonts w:hint="eastAsia" w:asciiTheme="minorEastAsia" w:hAnsiTheme="minorEastAsia" w:eastAsiaTheme="minorEastAsia" w:cstheme="minorEastAsia"/>
          <w:color w:val="333333"/>
          <w:sz w:val="28"/>
          <w:szCs w:val="28"/>
        </w:rPr>
        <w:t>：指</w:t>
      </w:r>
      <w:r>
        <w:rPr>
          <w:rFonts w:hint="eastAsia" w:asciiTheme="minorEastAsia" w:hAnsiTheme="minorEastAsia" w:eastAsiaTheme="minorEastAsia" w:cstheme="minorEastAsia"/>
          <w:color w:val="333333"/>
          <w:sz w:val="28"/>
          <w:szCs w:val="28"/>
          <w:lang w:eastAsia="zh-CN"/>
        </w:rPr>
        <w:t>县级</w:t>
      </w:r>
      <w:r>
        <w:rPr>
          <w:rFonts w:hint="eastAsia" w:asciiTheme="minorEastAsia" w:hAnsiTheme="minorEastAsia" w:eastAsiaTheme="minorEastAsia" w:cstheme="minorEastAsia"/>
          <w:color w:val="333333"/>
          <w:sz w:val="28"/>
          <w:szCs w:val="28"/>
        </w:rPr>
        <w:t>财政当年拨付的资金。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二、事业收入</w:t>
      </w:r>
      <w:r>
        <w:rPr>
          <w:rFonts w:hint="eastAsia" w:asciiTheme="minorEastAsia" w:hAnsiTheme="minorEastAsia" w:eastAsiaTheme="minorEastAsia" w:cstheme="minorEastAsia"/>
          <w:color w:val="333333"/>
          <w:sz w:val="28"/>
          <w:szCs w:val="28"/>
        </w:rPr>
        <w:t>：指事业单位开展专业业务活动及辅助活动所取得的收入。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三、经营收入</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四、其他收入</w:t>
      </w:r>
      <w:r>
        <w:rPr>
          <w:rFonts w:hint="eastAsia" w:asciiTheme="minorEastAsia" w:hAnsiTheme="minorEastAsia" w:eastAsiaTheme="minorEastAsia" w:cstheme="minorEastAsia"/>
          <w:color w:val="333333"/>
          <w:sz w:val="28"/>
          <w:szCs w:val="28"/>
        </w:rPr>
        <w:t>：指除上述“财政拨款收入”、“事业收入”、“经营收入”等以外的收入。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五、用事业基金弥补收支差额</w:t>
      </w:r>
      <w:r>
        <w:rPr>
          <w:rFonts w:hint="eastAsia" w:asciiTheme="minorEastAsia" w:hAnsiTheme="minorEastAsia" w:eastAsiaTheme="minorEastAsia" w:cstheme="minor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六、年初结转和结余</w:t>
      </w:r>
      <w:r>
        <w:rPr>
          <w:rFonts w:hint="eastAsia" w:asciiTheme="minorEastAsia" w:hAnsiTheme="minorEastAsia" w:eastAsiaTheme="minorEastAsia" w:cstheme="minorEastAsia"/>
          <w:color w:val="333333"/>
          <w:sz w:val="28"/>
          <w:szCs w:val="28"/>
        </w:rPr>
        <w:t>：指以前年度尚未完成、结转到本年按有关规定继续使用的资金。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七、结余分配</w:t>
      </w:r>
      <w:r>
        <w:rPr>
          <w:rFonts w:hint="eastAsia" w:asciiTheme="minorEastAsia" w:hAnsiTheme="minorEastAsia" w:eastAsiaTheme="minorEastAsia" w:cstheme="minorEastAsia"/>
          <w:color w:val="333333"/>
          <w:sz w:val="28"/>
          <w:szCs w:val="28"/>
        </w:rPr>
        <w:t>：指事业单位按规定提取的职工福利基金、事业基金和缴纳的所得税，以及建设单位按规定应交回的基本建设竣工项目结余资金。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八、年末结转和结余</w:t>
      </w:r>
      <w:r>
        <w:rPr>
          <w:rFonts w:hint="eastAsia" w:asciiTheme="minorEastAsia" w:hAnsiTheme="minorEastAsia" w:eastAsiaTheme="minorEastAsia" w:cstheme="minorEastAsia"/>
          <w:color w:val="333333"/>
          <w:sz w:val="28"/>
          <w:szCs w:val="28"/>
        </w:rPr>
        <w:t>：指本年度或以前年度预算安排、因客观条件发生变化无法按原计划实施，需延迟到以后年度按有关规定继续使用的资金。</w:t>
      </w:r>
    </w:p>
    <w:p>
      <w:pPr>
        <w:pStyle w:val="2"/>
        <w:keepNext w:val="0"/>
        <w:keepLines w:val="0"/>
        <w:widowControl/>
        <w:suppressLineNumbers w:val="0"/>
        <w:spacing w:before="180" w:beforeAutospacing="0" w:after="360" w:afterAutospacing="0" w:line="450" w:lineRule="atLeast"/>
        <w:ind w:left="0" w:right="0" w:firstLine="89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九、基本支出</w:t>
      </w:r>
      <w:r>
        <w:rPr>
          <w:rFonts w:hint="eastAsia" w:asciiTheme="minorEastAsia" w:hAnsiTheme="minorEastAsia" w:eastAsiaTheme="minorEastAsia" w:cstheme="minorEastAsia"/>
          <w:color w:val="333333"/>
          <w:sz w:val="28"/>
          <w:szCs w:val="28"/>
        </w:rPr>
        <w:t>：指为保障机构正常运转、完成日常工作任务而发生的人员支出和公用支出。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十、项目支出</w:t>
      </w:r>
      <w:r>
        <w:rPr>
          <w:rFonts w:hint="eastAsia" w:asciiTheme="minorEastAsia" w:hAnsiTheme="minorEastAsia" w:eastAsiaTheme="minorEastAsia" w:cstheme="minorEastAsia"/>
          <w:color w:val="333333"/>
          <w:sz w:val="28"/>
          <w:szCs w:val="28"/>
        </w:rPr>
        <w:t>：指在基本支出之外为完成特定行政任务和事业发展目标所发生的支出。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十一、经营支出</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十二、“三公”经费</w:t>
      </w:r>
      <w:r>
        <w:rPr>
          <w:rFonts w:hint="eastAsia" w:asciiTheme="minorEastAsia" w:hAnsiTheme="minorEastAsia" w:eastAsiaTheme="minorEastAsia" w:cstheme="minorEastAsia"/>
          <w:color w:val="333333"/>
          <w:sz w:val="28"/>
          <w:szCs w:val="28"/>
        </w:rPr>
        <w:t>：纳入</w:t>
      </w:r>
      <w:r>
        <w:rPr>
          <w:rFonts w:hint="eastAsia" w:asciiTheme="minorEastAsia" w:hAnsiTheme="minorEastAsia" w:eastAsiaTheme="minorEastAsia" w:cstheme="minorEastAsia"/>
          <w:color w:val="333333"/>
          <w:sz w:val="28"/>
          <w:szCs w:val="28"/>
          <w:lang w:eastAsia="zh-CN"/>
        </w:rPr>
        <w:t>县</w:t>
      </w:r>
      <w:r>
        <w:rPr>
          <w:rFonts w:hint="eastAsia" w:asciiTheme="minorEastAsia" w:hAnsiTheme="minorEastAsia" w:eastAsiaTheme="minorEastAsia" w:cstheme="minorEastAsia"/>
          <w:color w:val="333333"/>
          <w:sz w:val="28"/>
          <w:szCs w:val="28"/>
        </w:rPr>
        <w:t>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2"/>
        <w:keepNext w:val="0"/>
        <w:keepLines w:val="0"/>
        <w:widowControl/>
        <w:suppressLineNumbers w:val="0"/>
        <w:spacing w:before="180" w:beforeAutospacing="0" w:after="360" w:afterAutospacing="0" w:line="450" w:lineRule="atLeast"/>
        <w:ind w:left="0" w:right="0" w:firstLine="72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十三、机关运行经费</w:t>
      </w:r>
      <w:r>
        <w:rPr>
          <w:rFonts w:hint="eastAsia" w:asciiTheme="minorEastAsia" w:hAnsiTheme="minorEastAsia" w:eastAsiaTheme="minorEastAsia" w:cstheme="minor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Lucida Sans Unicode">
    <w:panose1 w:val="020B0602030504020204"/>
    <w:charset w:val="00"/>
    <w:family w:val="auto"/>
    <w:pitch w:val="default"/>
    <w:sig w:usb0="80001AFF" w:usb1="0000396B" w:usb2="00000000" w:usb3="00000000" w:csb0="0000003F" w:csb1="D7F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287C5E"/>
    <w:multiLevelType w:val="singleLevel"/>
    <w:tmpl w:val="56287C5E"/>
    <w:lvl w:ilvl="0" w:tentative="0">
      <w:start w:val="1"/>
      <w:numFmt w:val="chineseCounting"/>
      <w:suff w:val="nothing"/>
      <w:lvlText w:val="（%1）"/>
      <w:lvlJc w:val="left"/>
      <w:pPr>
        <w:ind w:left="0" w:firstLine="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E7389C"/>
    <w:rsid w:val="01340F75"/>
    <w:rsid w:val="03FE7F0E"/>
    <w:rsid w:val="098217C0"/>
    <w:rsid w:val="0E980DC7"/>
    <w:rsid w:val="179B676B"/>
    <w:rsid w:val="1CFB22BC"/>
    <w:rsid w:val="2A054FEB"/>
    <w:rsid w:val="2DE7389C"/>
    <w:rsid w:val="3DDC6AB6"/>
    <w:rsid w:val="419008B3"/>
    <w:rsid w:val="5A911F1B"/>
    <w:rsid w:val="62763A6A"/>
    <w:rsid w:val="6B6E45D7"/>
    <w:rsid w:val="6BC52739"/>
    <w:rsid w:val="75C44A3E"/>
    <w:rsid w:val="763C3B43"/>
    <w:rsid w:val="768870B2"/>
    <w:rsid w:val="7BC22F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qFormat/>
    <w:uiPriority w:val="0"/>
    <w:rPr>
      <w:color w:val="333333"/>
      <w:sz w:val="18"/>
      <w:szCs w:val="18"/>
      <w:u w:val="none"/>
    </w:rPr>
  </w:style>
  <w:style w:type="character" w:styleId="7">
    <w:name w:val="Emphasis"/>
    <w:basedOn w:val="4"/>
    <w:qFormat/>
    <w:uiPriority w:val="0"/>
    <w:rPr>
      <w:i/>
    </w:rPr>
  </w:style>
  <w:style w:type="character" w:styleId="8">
    <w:name w:val="Hyperlink"/>
    <w:basedOn w:val="4"/>
    <w:qFormat/>
    <w:uiPriority w:val="0"/>
    <w:rPr>
      <w:color w:val="333333"/>
      <w:sz w:val="18"/>
      <w:szCs w:val="18"/>
      <w:u w:val="none"/>
    </w:rPr>
  </w:style>
  <w:style w:type="character" w:customStyle="1" w:styleId="9">
    <w:name w:val="laiy"/>
    <w:basedOn w:val="4"/>
    <w:qFormat/>
    <w:uiPriority w:val="0"/>
  </w:style>
  <w:style w:type="character" w:customStyle="1" w:styleId="10">
    <w:name w:val="zuoz"/>
    <w:basedOn w:val="4"/>
    <w:qFormat/>
    <w:uiPriority w:val="0"/>
  </w:style>
  <w:style w:type="character" w:customStyle="1" w:styleId="11">
    <w:name w:val="update"/>
    <w:basedOn w:val="4"/>
    <w:qFormat/>
    <w:uiPriority w:val="0"/>
  </w:style>
  <w:style w:type="character" w:customStyle="1" w:styleId="12">
    <w:name w:val="hot1"/>
    <w:basedOn w:val="4"/>
    <w:qFormat/>
    <w:uiPriority w:val="0"/>
  </w:style>
  <w:style w:type="character" w:customStyle="1" w:styleId="13">
    <w:name w:val="td12"/>
    <w:basedOn w:val="4"/>
    <w:qFormat/>
    <w:uiPriority w:val="0"/>
    <w:rPr>
      <w:rFonts w:ascii="Arial" w:hAnsi="Arial" w:cs="Arial"/>
      <w:color w:val="FFFFFF"/>
      <w:sz w:val="16"/>
      <w:szCs w:val="16"/>
    </w:rPr>
  </w:style>
  <w:style w:type="character" w:customStyle="1" w:styleId="14">
    <w:name w:val="td22"/>
    <w:basedOn w:val="4"/>
    <w:qFormat/>
    <w:uiPriority w:val="0"/>
  </w:style>
  <w:style w:type="character" w:customStyle="1" w:styleId="15">
    <w:name w:val="td32"/>
    <w:basedOn w:val="4"/>
    <w:qFormat/>
    <w:uiPriority w:val="0"/>
  </w:style>
  <w:style w:type="character" w:customStyle="1" w:styleId="16">
    <w:name w:val="home"/>
    <w:basedOn w:val="4"/>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72</TotalTime>
  <ScaleCrop>false</ScaleCrop>
  <LinksUpToDate>false</LinksUpToDate>
  <CharactersWithSpaces>0</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2017-10-20T06:21:00Z</dcterms:created>
  <dc:creator>tianlinyu</dc:creator>
  <cp:lastModifiedBy>Administrator</cp:lastModifiedBy>
  <dcterms:modified xsi:type="dcterms:W3CDTF">2019-08-28T02:55:20Z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